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283711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1E1EB340" w:rsidR="00F92268" w:rsidRPr="00FF66BF" w:rsidRDefault="00283711" w:rsidP="00283711">
            <w:pPr>
              <w:pStyle w:val="RefTableData"/>
            </w:pPr>
            <w:r>
              <w:t>6118-A</w:t>
            </w:r>
          </w:p>
        </w:tc>
      </w:tr>
    </w:tbl>
    <w:p w14:paraId="74FBA5B4" w14:textId="77777777" w:rsidR="00051356" w:rsidRDefault="00051356" w:rsidP="00283711">
      <w:pPr>
        <w:pStyle w:val="BodyText"/>
        <w:spacing w:after="0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7858B835" w:rsidR="004B15BB" w:rsidRDefault="00B54254" w:rsidP="007E5C16">
      <w:pPr>
        <w:pStyle w:val="Heading1"/>
      </w:pPr>
      <w:r w:rsidRPr="00D61609">
        <w:t>Specialty Guideline Management</w:t>
      </w:r>
      <w:r w:rsidR="00684277">
        <w:br/>
      </w:r>
      <w:proofErr w:type="spellStart"/>
      <w:r w:rsidRPr="00B54254">
        <w:t>Akeega</w:t>
      </w:r>
      <w:proofErr w:type="spellEnd"/>
    </w:p>
    <w:p w14:paraId="78861C92" w14:textId="4B42D019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39E21E91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FE2750">
        <w:t>Over-</w:t>
      </w:r>
      <w:r w:rsidR="006D787D">
        <w:t>t</w:t>
      </w:r>
      <w:r w:rsidR="00FE2750">
        <w:t>he-</w:t>
      </w:r>
      <w:r w:rsidR="006D787D">
        <w:t>c</w:t>
      </w:r>
      <w:r w:rsidR="00FE2750">
        <w:t>ounter (</w:t>
      </w:r>
      <w:r w:rsidRPr="00BD1CC1">
        <w:t>OTC</w:t>
      </w:r>
      <w:r w:rsidR="00FE2750">
        <w:t>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 w:rsidTr="00E07C6F">
        <w:trPr>
          <w:cantSplit/>
          <w:trHeight w:val="288"/>
          <w:tblHeader/>
        </w:trPr>
        <w:tc>
          <w:tcPr>
            <w:tcW w:w="5265" w:type="dxa"/>
          </w:tcPr>
          <w:p w14:paraId="6CBFE1BD" w14:textId="77777777" w:rsidR="005B4D7C" w:rsidRPr="00BD1CC1" w:rsidRDefault="005B4D7C" w:rsidP="00E07C6F">
            <w:pPr>
              <w:pStyle w:val="TableHeader"/>
              <w:spacing w:after="0"/>
            </w:pPr>
            <w:r w:rsidRPr="00BD1CC1">
              <w:t>Brand Name</w:t>
            </w:r>
          </w:p>
        </w:tc>
        <w:tc>
          <w:tcPr>
            <w:tcW w:w="5595" w:type="dxa"/>
          </w:tcPr>
          <w:p w14:paraId="18440B85" w14:textId="77777777" w:rsidR="005B4D7C" w:rsidRPr="00BD1CC1" w:rsidRDefault="005B4D7C" w:rsidP="00E07C6F">
            <w:pPr>
              <w:pStyle w:val="TableHeader"/>
              <w:spacing w:after="0"/>
            </w:pPr>
            <w:r w:rsidRPr="00BD1CC1">
              <w:t>Generic Name</w:t>
            </w:r>
          </w:p>
        </w:tc>
      </w:tr>
      <w:tr w:rsidR="005B4D7C" w:rsidRPr="00BD1CC1" w14:paraId="7742B1EC" w14:textId="77777777" w:rsidTr="00E07C6F">
        <w:trPr>
          <w:cantSplit/>
        </w:trPr>
        <w:tc>
          <w:tcPr>
            <w:tcW w:w="5265" w:type="dxa"/>
          </w:tcPr>
          <w:p w14:paraId="4DED0C9B" w14:textId="3DC1C921" w:rsidR="005B4D7C" w:rsidRPr="00BD1CC1" w:rsidRDefault="00684277" w:rsidP="00E07C6F">
            <w:pPr>
              <w:pStyle w:val="TableData"/>
              <w:spacing w:after="0"/>
            </w:pPr>
            <w:r w:rsidRPr="00B54254">
              <w:t>Akeega</w:t>
            </w:r>
          </w:p>
        </w:tc>
        <w:tc>
          <w:tcPr>
            <w:tcW w:w="5595" w:type="dxa"/>
          </w:tcPr>
          <w:p w14:paraId="1A09710D" w14:textId="06202B3E" w:rsidR="005B4D7C" w:rsidRPr="00BD1CC1" w:rsidRDefault="00684277" w:rsidP="00E07C6F">
            <w:pPr>
              <w:pStyle w:val="TableData"/>
              <w:spacing w:after="0"/>
            </w:pPr>
            <w:r w:rsidRPr="00B54254">
              <w:t>niraparib and abiraterone acetate</w:t>
            </w:r>
          </w:p>
        </w:tc>
      </w:tr>
    </w:tbl>
    <w:p w14:paraId="14CE6108" w14:textId="32BB7B31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6E84647A" w14:textId="10BD35A9" w:rsidR="00075035" w:rsidRPr="00075035" w:rsidRDefault="00075035" w:rsidP="00075035">
      <w:pPr>
        <w:pStyle w:val="BodyText"/>
      </w:pPr>
      <w:r w:rsidRPr="00075035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4AEFE452" w:rsidR="00ED052F" w:rsidRPr="00BD1CC1" w:rsidRDefault="00ED052F" w:rsidP="00ED052F">
      <w:pPr>
        <w:pStyle w:val="Heading3"/>
        <w:keepNext w:val="0"/>
      </w:pPr>
      <w:r w:rsidRPr="00BD1CC1">
        <w:t>FDA-</w:t>
      </w:r>
      <w:r w:rsidR="009F4D3C">
        <w:t>A</w:t>
      </w:r>
      <w:r w:rsidRPr="00BD1CC1">
        <w:t>pproved Indications</w:t>
      </w:r>
      <w:r w:rsidR="00061C34" w:rsidRPr="00061C34">
        <w:rPr>
          <w:vertAlign w:val="superscript"/>
        </w:rPr>
        <w:t>1</w:t>
      </w:r>
    </w:p>
    <w:p w14:paraId="5508F7B9" w14:textId="5D71CA76" w:rsidR="00A0693C" w:rsidRPr="008D1D8B" w:rsidRDefault="00A0693C" w:rsidP="009F4D3C">
      <w:pPr>
        <w:pStyle w:val="BodyText"/>
        <w:rPr>
          <w:u w:val="single"/>
        </w:rPr>
      </w:pPr>
      <w:r w:rsidRPr="006215D5">
        <w:rPr>
          <w:bCs/>
        </w:rPr>
        <w:t xml:space="preserve">Akeega is </w:t>
      </w:r>
      <w:r w:rsidRPr="009F4D3C">
        <w:t>indicated</w:t>
      </w:r>
      <w:r w:rsidRPr="006215D5">
        <w:rPr>
          <w:bCs/>
        </w:rPr>
        <w:t xml:space="preserve"> with prednisone </w:t>
      </w:r>
      <w:r w:rsidRPr="006215D5">
        <w:t xml:space="preserve">for the treatment of adult patients with deleterious or suspected deleterious </w:t>
      </w:r>
      <w:r>
        <w:t>breast cancer gene [</w:t>
      </w:r>
      <w:r w:rsidRPr="006215D5">
        <w:t xml:space="preserve">BRCA-mutated </w:t>
      </w:r>
      <w:r>
        <w:t>(</w:t>
      </w:r>
      <w:proofErr w:type="spellStart"/>
      <w:r w:rsidRPr="006215D5">
        <w:t>BRCAm</w:t>
      </w:r>
      <w:proofErr w:type="spellEnd"/>
      <w:r w:rsidRPr="006215D5">
        <w:t>)</w:t>
      </w:r>
      <w:r>
        <w:t>]</w:t>
      </w:r>
      <w:r w:rsidRPr="006215D5">
        <w:t xml:space="preserve"> metastatic castration-resistant prostate cancer (</w:t>
      </w:r>
      <w:proofErr w:type="spellStart"/>
      <w:r w:rsidRPr="006215D5">
        <w:t>mCRPC</w:t>
      </w:r>
      <w:proofErr w:type="spellEnd"/>
      <w:r w:rsidRPr="006215D5">
        <w:t xml:space="preserve">). Select patients for therapy based on an FDA-approved test for </w:t>
      </w:r>
      <w:proofErr w:type="spellStart"/>
      <w:r w:rsidRPr="006215D5">
        <w:t>A</w:t>
      </w:r>
      <w:r>
        <w:t>keega</w:t>
      </w:r>
      <w:proofErr w:type="spellEnd"/>
      <w:r>
        <w:t>.</w:t>
      </w:r>
    </w:p>
    <w:p w14:paraId="594A0D58" w14:textId="1F18A279" w:rsidR="00ED0862" w:rsidRDefault="00ED0862" w:rsidP="00ED0862">
      <w:pPr>
        <w:pStyle w:val="Heading3"/>
        <w:keepNext w:val="0"/>
        <w:rPr>
          <w:vertAlign w:val="superscript"/>
        </w:rPr>
      </w:pPr>
      <w:r>
        <w:t>Compendial Use</w:t>
      </w:r>
      <w:r w:rsidRPr="00811011">
        <w:rPr>
          <w:vertAlign w:val="superscript"/>
        </w:rPr>
        <w:t>2</w:t>
      </w:r>
    </w:p>
    <w:p w14:paraId="05CD771E" w14:textId="4198F7ED" w:rsidR="00ED0862" w:rsidRDefault="00ED0862" w:rsidP="00ED0862">
      <w:pPr>
        <w:pStyle w:val="BodyText"/>
      </w:pPr>
      <w:r>
        <w:t>Prostate Cancer</w:t>
      </w:r>
    </w:p>
    <w:p w14:paraId="3CE420F3" w14:textId="1AC0D71A" w:rsidR="00FD6D5D" w:rsidRPr="00ED0862" w:rsidRDefault="00FD6D5D" w:rsidP="00ED0862">
      <w:pPr>
        <w:pStyle w:val="BodyText"/>
      </w:pPr>
      <w:r w:rsidRPr="008D1D8B">
        <w:t>All other indications are considered expe</w:t>
      </w:r>
      <w:r>
        <w:t>rimental/investigational and</w:t>
      </w:r>
      <w:r w:rsidRPr="008D1D8B">
        <w:t xml:space="preserve"> not </w:t>
      </w:r>
      <w:r>
        <w:t>medically necessary</w:t>
      </w:r>
      <w:r w:rsidR="000014E9">
        <w:t>.</w:t>
      </w:r>
    </w:p>
    <w:p w14:paraId="36381B6D" w14:textId="5FAE2FDE" w:rsidR="000D2496" w:rsidRPr="00BD1CC1" w:rsidRDefault="000D2496" w:rsidP="000D2496">
      <w:pPr>
        <w:pStyle w:val="Heading2"/>
      </w:pPr>
      <w:r w:rsidRPr="00BD1CC1">
        <w:t>Documentation</w:t>
      </w:r>
    </w:p>
    <w:p w14:paraId="2E4ADA74" w14:textId="77777777" w:rsidR="004755F1" w:rsidRDefault="004755F1" w:rsidP="004755F1">
      <w:pPr>
        <w:pStyle w:val="BodyText"/>
      </w:pPr>
      <w:r>
        <w:t>Submission of the following information is necessary to initiate the prior authorization review:</w:t>
      </w:r>
    </w:p>
    <w:p w14:paraId="08AB53D5" w14:textId="77777777" w:rsidR="004755F1" w:rsidRPr="00A1195F" w:rsidRDefault="004755F1" w:rsidP="004755F1">
      <w:pPr>
        <w:pStyle w:val="BodyText"/>
      </w:pPr>
      <w:r w:rsidRPr="00A1195F">
        <w:lastRenderedPageBreak/>
        <w:t>Documentation of laboratory report confirming BRCA mutation status.</w:t>
      </w:r>
    </w:p>
    <w:p w14:paraId="50A38FBA" w14:textId="7170EB87" w:rsidR="00FE0C63" w:rsidRPr="00F14F4C" w:rsidRDefault="00685107" w:rsidP="00E050E1">
      <w:pPr>
        <w:pStyle w:val="Heading2"/>
      </w:pPr>
      <w:r>
        <w:t>Coverage Criteria</w:t>
      </w:r>
    </w:p>
    <w:p w14:paraId="6202412E" w14:textId="322949BD" w:rsidR="004E4DE2" w:rsidRPr="00811011" w:rsidRDefault="004755F1" w:rsidP="004E4DE2">
      <w:pPr>
        <w:pStyle w:val="Heading3"/>
        <w:rPr>
          <w:vertAlign w:val="superscript"/>
        </w:rPr>
      </w:pPr>
      <w:r>
        <w:t>Prostate Cancer</w:t>
      </w:r>
      <w:r w:rsidRPr="004755F1">
        <w:rPr>
          <w:vertAlign w:val="superscript"/>
        </w:rPr>
        <w:t>1</w:t>
      </w:r>
      <w:r w:rsidR="00FD6D5D">
        <w:rPr>
          <w:vertAlign w:val="superscript"/>
        </w:rPr>
        <w:t>,2</w:t>
      </w:r>
    </w:p>
    <w:p w14:paraId="70C94D05" w14:textId="77777777" w:rsidR="004755F1" w:rsidRPr="008D1D8B" w:rsidRDefault="004755F1" w:rsidP="004755F1">
      <w:pPr>
        <w:pStyle w:val="BodyText"/>
      </w:pPr>
      <w:r w:rsidRPr="008D1D8B">
        <w:t xml:space="preserve">Authorization of 12 months may be granted for treatment of </w:t>
      </w:r>
      <w:r>
        <w:t>metastatic castration-resistant prostate cancer</w:t>
      </w:r>
      <w:r w:rsidRPr="008D1D8B">
        <w:t xml:space="preserve"> when all of the following criteria are</w:t>
      </w:r>
      <w:r>
        <w:t xml:space="preserve"> met</w:t>
      </w:r>
      <w:r w:rsidRPr="008D1D8B">
        <w:t>:</w:t>
      </w:r>
    </w:p>
    <w:p w14:paraId="759CB20C" w14:textId="77777777" w:rsidR="004755F1" w:rsidRPr="009F4D3C" w:rsidRDefault="004755F1" w:rsidP="009F4D3C">
      <w:pPr>
        <w:pStyle w:val="ListParagraph"/>
        <w:numPr>
          <w:ilvl w:val="0"/>
          <w:numId w:val="31"/>
        </w:numPr>
      </w:pPr>
      <w:r w:rsidRPr="009F4D3C">
        <w:t>The disease has deleterious or suspected deleterious BRCA mutation</w:t>
      </w:r>
    </w:p>
    <w:p w14:paraId="176772AB" w14:textId="0F1DCBD5" w:rsidR="004755F1" w:rsidRPr="009F4D3C" w:rsidRDefault="004755F1" w:rsidP="009F4D3C">
      <w:pPr>
        <w:pStyle w:val="ListParagraph"/>
        <w:numPr>
          <w:ilvl w:val="0"/>
          <w:numId w:val="31"/>
        </w:numPr>
      </w:pPr>
      <w:r w:rsidRPr="009F4D3C">
        <w:t xml:space="preserve">The member has had a bilateral orchiectomy or will be using the requested medication in combination with </w:t>
      </w:r>
      <w:r w:rsidR="006668E9" w:rsidRPr="006668E9">
        <w:t xml:space="preserve">a luteinizing hormone-releasing hormone (LHRH) agonist (e.g., goserelin, leuprolide) or antagonist (e.g., </w:t>
      </w:r>
      <w:proofErr w:type="spellStart"/>
      <w:r w:rsidR="006668E9" w:rsidRPr="006668E9">
        <w:t>degarelix</w:t>
      </w:r>
      <w:proofErr w:type="spellEnd"/>
      <w:r w:rsidR="006668E9" w:rsidRPr="006668E9">
        <w:t xml:space="preserve">, </w:t>
      </w:r>
      <w:proofErr w:type="spellStart"/>
      <w:r w:rsidR="006668E9" w:rsidRPr="006668E9">
        <w:t>relugolix</w:t>
      </w:r>
      <w:proofErr w:type="spellEnd"/>
      <w:r w:rsidR="006668E9" w:rsidRPr="006668E9">
        <w:t>).</w:t>
      </w:r>
    </w:p>
    <w:p w14:paraId="76A6CAC8" w14:textId="77777777" w:rsidR="004755F1" w:rsidRDefault="004755F1" w:rsidP="009F4D3C">
      <w:pPr>
        <w:pStyle w:val="ListParagraph"/>
        <w:numPr>
          <w:ilvl w:val="0"/>
          <w:numId w:val="31"/>
        </w:numPr>
      </w:pPr>
      <w:r w:rsidRPr="009F4D3C">
        <w:t>The requested medication will be used in combination with prednisone</w:t>
      </w:r>
    </w:p>
    <w:p w14:paraId="3A643EC3" w14:textId="34F6AE5C" w:rsidR="00A501AC" w:rsidRPr="00BD1CC1" w:rsidRDefault="00A501AC" w:rsidP="00A501AC">
      <w:pPr>
        <w:pStyle w:val="Heading2"/>
      </w:pPr>
      <w:r w:rsidRPr="00BD1CC1">
        <w:t>Continuation of Therapy</w:t>
      </w:r>
    </w:p>
    <w:p w14:paraId="21F57305" w14:textId="77777777" w:rsidR="004755F1" w:rsidRPr="0011263A" w:rsidRDefault="004755F1" w:rsidP="004755F1">
      <w:pPr>
        <w:pStyle w:val="BodyText"/>
      </w:pPr>
      <w:r w:rsidRPr="0011263A">
        <w:t xml:space="preserve">Authorization of 12 months may be granted for continued treatment in members requesting reauthorization for an </w:t>
      </w:r>
      <w:r>
        <w:t>indication listed in the coverage criteria section</w:t>
      </w:r>
      <w:r w:rsidRPr="0011263A">
        <w:t xml:space="preserve"> </w:t>
      </w:r>
      <w:r>
        <w:t>when there is no evidence of unacceptable toxicity or disease progression while on the current regimen</w:t>
      </w:r>
      <w:r w:rsidRPr="0011263A">
        <w:t>.</w:t>
      </w:r>
    </w:p>
    <w:p w14:paraId="10DA4309" w14:textId="3856067B" w:rsidR="00FF66BF" w:rsidRDefault="00FF66BF" w:rsidP="00FF66BF">
      <w:pPr>
        <w:pStyle w:val="Heading2"/>
      </w:pPr>
      <w:r w:rsidRPr="008D1B34">
        <w:t>References</w:t>
      </w:r>
    </w:p>
    <w:p w14:paraId="3DB1C5E7" w14:textId="052175FC" w:rsidR="004755F1" w:rsidRDefault="004755F1" w:rsidP="00811011">
      <w:pPr>
        <w:pStyle w:val="ReferenceOrdered"/>
        <w:ind w:left="360"/>
      </w:pPr>
      <w:r w:rsidRPr="009F4D3C">
        <w:t>Akeega [package insert]. Horsham, PA: Janssen Biotech, Inc</w:t>
      </w:r>
      <w:r w:rsidR="007D5CA6">
        <w:t>.</w:t>
      </w:r>
      <w:r w:rsidRPr="009F4D3C">
        <w:t>; August 2023.</w:t>
      </w:r>
    </w:p>
    <w:p w14:paraId="3D238256" w14:textId="4BA96DC5" w:rsidR="00A43F7D" w:rsidRPr="009F4D3C" w:rsidRDefault="00A43F7D" w:rsidP="00811011">
      <w:pPr>
        <w:pStyle w:val="ReferenceOrdered"/>
        <w:ind w:left="360"/>
      </w:pPr>
      <w:r>
        <w:t xml:space="preserve">The NCCN Drugs &amp; Biologics Compendium™ © 2024 National Comprehensive Cancer Network, Inc. </w:t>
      </w:r>
      <w:hyperlink r:id="rId15" w:history="1">
        <w:r w:rsidRPr="00811011">
          <w:t>https://www.nccn.org</w:t>
        </w:r>
      </w:hyperlink>
      <w:r w:rsidR="007D5CA6">
        <w:t>.</w:t>
      </w:r>
      <w:r>
        <w:t xml:space="preserve"> Accessed </w:t>
      </w:r>
      <w:r w:rsidR="00E430B5">
        <w:t xml:space="preserve">December </w:t>
      </w:r>
      <w:r>
        <w:t>1</w:t>
      </w:r>
      <w:r w:rsidR="00E430B5">
        <w:t>7</w:t>
      </w:r>
      <w:r>
        <w:t>, 2024.</w:t>
      </w:r>
    </w:p>
    <w:sectPr w:rsidR="00A43F7D" w:rsidRPr="009F4D3C" w:rsidSect="00811011"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95B8F" w14:textId="77777777" w:rsidR="00D31DBC" w:rsidRDefault="00D31DBC">
      <w:r>
        <w:separator/>
      </w:r>
    </w:p>
  </w:endnote>
  <w:endnote w:type="continuationSeparator" w:id="0">
    <w:p w14:paraId="04FF203D" w14:textId="77777777" w:rsidR="00D31DBC" w:rsidRDefault="00D31DBC">
      <w:r>
        <w:continuationSeparator/>
      </w:r>
    </w:p>
  </w:endnote>
  <w:endnote w:type="continuationNotice" w:id="1">
    <w:p w14:paraId="552B2E31" w14:textId="77777777" w:rsidR="00D31DBC" w:rsidRDefault="00D31D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431FEF19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727E9" w:rsidRPr="00E727E9">
      <w:rPr>
        <w:rFonts w:cs="Arial"/>
        <w:noProof/>
        <w:sz w:val="16"/>
        <w:szCs w:val="16"/>
      </w:rPr>
      <w:t>Akeega</w:t>
    </w:r>
    <w:r w:rsidR="00E727E9">
      <w:rPr>
        <w:rFonts w:cs="Arial"/>
        <w:noProof/>
        <w:snapToGrid w:val="0"/>
        <w:color w:val="000000"/>
        <w:sz w:val="16"/>
        <w:szCs w:val="16"/>
      </w:rPr>
      <w:t xml:space="preserve"> SGM 6118-A</w:t>
    </w:r>
    <w:r w:rsidR="00E727E9" w:rsidRPr="00E727E9">
      <w:rPr>
        <w:rFonts w:cs="Arial"/>
        <w:noProof/>
        <w:sz w:val="16"/>
        <w:szCs w:val="16"/>
      </w:rPr>
      <w:t xml:space="preserve"> P2024a.docx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1104A32D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16428568" w:rsidR="00F75C81" w:rsidRPr="00C75239" w:rsidRDefault="00C36B72" w:rsidP="00C75239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00CBBC16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E727E9" w:rsidRPr="00E727E9">
      <w:rPr>
        <w:rFonts w:cs="Arial"/>
        <w:noProof/>
        <w:sz w:val="16"/>
        <w:szCs w:val="16"/>
      </w:rPr>
      <w:t>Akeega</w:t>
    </w:r>
    <w:r w:rsidR="00E727E9">
      <w:rPr>
        <w:rFonts w:cs="Arial"/>
        <w:noProof/>
        <w:snapToGrid w:val="0"/>
        <w:color w:val="000000"/>
        <w:sz w:val="16"/>
        <w:szCs w:val="16"/>
      </w:rPr>
      <w:t xml:space="preserve"> SGM 6118-A</w:t>
    </w:r>
    <w:r w:rsidR="00E727E9" w:rsidRPr="00E727E9">
      <w:rPr>
        <w:rFonts w:cs="Arial"/>
        <w:noProof/>
        <w:sz w:val="16"/>
        <w:szCs w:val="16"/>
      </w:rPr>
      <w:t xml:space="preserve"> P2024a.docx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397BD4B0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5915EEED" w:rsidR="00ED04EC" w:rsidRPr="006D787D" w:rsidRDefault="00F50D98" w:rsidP="006D787D">
    <w:pPr>
      <w:autoSpaceDE w:val="0"/>
      <w:autoSpaceDN w:val="0"/>
      <w:adjustRightInd w:val="0"/>
      <w:jc w:val="center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CA752" w14:textId="77777777" w:rsidR="00D31DBC" w:rsidRDefault="00D31DBC">
      <w:r>
        <w:separator/>
      </w:r>
    </w:p>
  </w:footnote>
  <w:footnote w:type="continuationSeparator" w:id="0">
    <w:p w14:paraId="207C4FFA" w14:textId="77777777" w:rsidR="00D31DBC" w:rsidRDefault="00D31DBC">
      <w:r>
        <w:continuationSeparator/>
      </w:r>
    </w:p>
  </w:footnote>
  <w:footnote w:type="continuationNotice" w:id="1">
    <w:p w14:paraId="2CA7A2AA" w14:textId="77777777" w:rsidR="00D31DBC" w:rsidRDefault="00D31D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283711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6335FD32" w:rsidR="00ED04EC" w:rsidRPr="004C7F1D" w:rsidRDefault="00283711" w:rsidP="00283711">
          <w:pPr>
            <w:pStyle w:val="RefTableData"/>
          </w:pPr>
          <w:r>
            <w:t>6118-A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280636"/>
    <w:multiLevelType w:val="hybridMultilevel"/>
    <w:tmpl w:val="634A8EC6"/>
    <w:lvl w:ilvl="0" w:tplc="9D16F11A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D64A6F08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B4A820D8">
      <w:start w:val="1"/>
      <w:numFmt w:val="decimal"/>
      <w:lvlText w:val="%4."/>
      <w:lvlJc w:val="left"/>
      <w:pPr>
        <w:ind w:left="1440" w:hanging="360"/>
      </w:pPr>
      <w:rPr>
        <w:rFonts w:ascii="Arial" w:eastAsia="Times New Roman" w:hAnsi="Arial" w:cs="Arial"/>
      </w:rPr>
    </w:lvl>
    <w:lvl w:ilvl="4" w:tplc="E1B0C40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 w:tplc="04090019">
      <w:start w:val="1"/>
      <w:numFmt w:val="lowerLetter"/>
      <w:lvlText w:val="%6."/>
      <w:lvlJc w:val="left"/>
      <w:pPr>
        <w:ind w:left="216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E49FD"/>
    <w:multiLevelType w:val="hybridMultilevel"/>
    <w:tmpl w:val="7F02E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364902"/>
    <w:multiLevelType w:val="hybridMultilevel"/>
    <w:tmpl w:val="15E2B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2"/>
  </w:num>
  <w:num w:numId="2" w16cid:durableId="606935877">
    <w:abstractNumId w:val="26"/>
  </w:num>
  <w:num w:numId="3" w16cid:durableId="611589570">
    <w:abstractNumId w:val="22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3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28"/>
  </w:num>
  <w:num w:numId="18" w16cid:durableId="299724409">
    <w:abstractNumId w:val="23"/>
  </w:num>
  <w:num w:numId="19" w16cid:durableId="214585573">
    <w:abstractNumId w:val="14"/>
  </w:num>
  <w:num w:numId="20" w16cid:durableId="1289816170">
    <w:abstractNumId w:val="15"/>
  </w:num>
  <w:num w:numId="21" w16cid:durableId="1066490929">
    <w:abstractNumId w:val="29"/>
  </w:num>
  <w:num w:numId="22" w16cid:durableId="1472481103">
    <w:abstractNumId w:val="25"/>
  </w:num>
  <w:num w:numId="23" w16cid:durableId="1997420403">
    <w:abstractNumId w:val="27"/>
  </w:num>
  <w:num w:numId="24" w16cid:durableId="33312838">
    <w:abstractNumId w:val="24"/>
  </w:num>
  <w:num w:numId="25" w16cid:durableId="507404939">
    <w:abstractNumId w:val="17"/>
  </w:num>
  <w:num w:numId="26" w16cid:durableId="1950313333">
    <w:abstractNumId w:val="21"/>
  </w:num>
  <w:num w:numId="27" w16cid:durableId="1866016584">
    <w:abstractNumId w:val="20"/>
  </w:num>
  <w:num w:numId="28" w16cid:durableId="483594715">
    <w:abstractNumId w:val="16"/>
  </w:num>
  <w:num w:numId="29" w16cid:durableId="65611057">
    <w:abstractNumId w:val="30"/>
  </w:num>
  <w:num w:numId="30" w16cid:durableId="873347661">
    <w:abstractNumId w:val="10"/>
  </w:num>
  <w:num w:numId="31" w16cid:durableId="1279334115">
    <w:abstractNumId w:val="19"/>
  </w:num>
  <w:num w:numId="32" w16cid:durableId="593518588">
    <w:abstractNumId w:val="29"/>
  </w:num>
  <w:num w:numId="33" w16cid:durableId="385644642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14E9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572F"/>
    <w:rsid w:val="00036079"/>
    <w:rsid w:val="00037636"/>
    <w:rsid w:val="00037A95"/>
    <w:rsid w:val="00041200"/>
    <w:rsid w:val="0004226E"/>
    <w:rsid w:val="000425B0"/>
    <w:rsid w:val="00043056"/>
    <w:rsid w:val="00043DFE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1C34"/>
    <w:rsid w:val="00062816"/>
    <w:rsid w:val="00064347"/>
    <w:rsid w:val="00064396"/>
    <w:rsid w:val="00065AC6"/>
    <w:rsid w:val="00066D4B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035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1E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4DD8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1D4E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6EB0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3711"/>
    <w:rsid w:val="0028452B"/>
    <w:rsid w:val="00284D74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2F7A8B"/>
    <w:rsid w:val="0030016D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3F6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2D38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B7E22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E1C0F"/>
    <w:rsid w:val="003E260D"/>
    <w:rsid w:val="003E28D8"/>
    <w:rsid w:val="003E3201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7A8"/>
    <w:rsid w:val="004438A7"/>
    <w:rsid w:val="00444336"/>
    <w:rsid w:val="00444A6A"/>
    <w:rsid w:val="0044563B"/>
    <w:rsid w:val="00445C24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D41"/>
    <w:rsid w:val="00466496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5F1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DE2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33B"/>
    <w:rsid w:val="006025DE"/>
    <w:rsid w:val="00602E3A"/>
    <w:rsid w:val="00603889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5FE5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8E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277"/>
    <w:rsid w:val="0068444E"/>
    <w:rsid w:val="00684881"/>
    <w:rsid w:val="00685107"/>
    <w:rsid w:val="00685164"/>
    <w:rsid w:val="006852BE"/>
    <w:rsid w:val="00685620"/>
    <w:rsid w:val="00685E5D"/>
    <w:rsid w:val="0068667E"/>
    <w:rsid w:val="00686AB8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D787D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075"/>
    <w:rsid w:val="00702357"/>
    <w:rsid w:val="00702DB8"/>
    <w:rsid w:val="007034B1"/>
    <w:rsid w:val="00703C67"/>
    <w:rsid w:val="00705267"/>
    <w:rsid w:val="007061F8"/>
    <w:rsid w:val="00706B11"/>
    <w:rsid w:val="00706FB2"/>
    <w:rsid w:val="00707218"/>
    <w:rsid w:val="007074F5"/>
    <w:rsid w:val="00707DEE"/>
    <w:rsid w:val="00711A79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5CA6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3A54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1011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615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5F33"/>
    <w:rsid w:val="0087645A"/>
    <w:rsid w:val="00876B24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0225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4D3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3C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3F7D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5DB7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0736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97FC7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4E8E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254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9A"/>
    <w:rsid w:val="00BD5D53"/>
    <w:rsid w:val="00BD672B"/>
    <w:rsid w:val="00BD6B98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75EB"/>
    <w:rsid w:val="00C676EA"/>
    <w:rsid w:val="00C700FE"/>
    <w:rsid w:val="00C72424"/>
    <w:rsid w:val="00C73E8B"/>
    <w:rsid w:val="00C74CD4"/>
    <w:rsid w:val="00C74F5C"/>
    <w:rsid w:val="00C75239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6A7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B5B"/>
    <w:rsid w:val="00CD3C27"/>
    <w:rsid w:val="00CD4084"/>
    <w:rsid w:val="00CD59BF"/>
    <w:rsid w:val="00CD6E3C"/>
    <w:rsid w:val="00CD74BA"/>
    <w:rsid w:val="00CE04D7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2EE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1DBC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09"/>
    <w:rsid w:val="00D6162B"/>
    <w:rsid w:val="00D62475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6F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3842"/>
    <w:rsid w:val="00E24B03"/>
    <w:rsid w:val="00E25668"/>
    <w:rsid w:val="00E25D1E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0B5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27E9"/>
    <w:rsid w:val="00E738B8"/>
    <w:rsid w:val="00E744D4"/>
    <w:rsid w:val="00E74F5E"/>
    <w:rsid w:val="00E75553"/>
    <w:rsid w:val="00E755B7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862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43EB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4F4C"/>
    <w:rsid w:val="00F15545"/>
    <w:rsid w:val="00F16EAA"/>
    <w:rsid w:val="00F1748F"/>
    <w:rsid w:val="00F17594"/>
    <w:rsid w:val="00F17E4B"/>
    <w:rsid w:val="00F2074F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6D5D"/>
    <w:rsid w:val="00FD75BC"/>
    <w:rsid w:val="00FD7AB8"/>
    <w:rsid w:val="00FE01AE"/>
    <w:rsid w:val="00FE057F"/>
    <w:rsid w:val="00FE06ED"/>
    <w:rsid w:val="00FE0C63"/>
    <w:rsid w:val="00FE1064"/>
    <w:rsid w:val="00FE2750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78A7"/>
    <w:rsid w:val="00FE7C80"/>
    <w:rsid w:val="00FF1628"/>
    <w:rsid w:val="00FF2F94"/>
    <w:rsid w:val="00FF35C5"/>
    <w:rsid w:val="00FF37B2"/>
    <w:rsid w:val="00FF530E"/>
    <w:rsid w:val="00FF5C3C"/>
    <w:rsid w:val="00FF66BF"/>
    <w:rsid w:val="00FF7695"/>
    <w:rsid w:val="29729D5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11844864-3936-4C2C-B6A6-F5F9A3AFA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nccn.org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CEDFCC-70FC-4DBE-AC30-4652A02324F0}"/>
</file>

<file path=customXml/itemProps2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7757c461-07c7-44e1-99a5-77c6cc8be592"/>
    <ds:schemaRef ds:uri="eb403b6b-7b96-4fe7-afcc-b3d44ddfb7d8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Akeega 6118-A SGM 2023</vt:lpstr>
    </vt:vector>
  </TitlesOfParts>
  <Company>PCS Health Systems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Akeega SGM 6118-A</dc:title>
  <dc:subject/>
  <dc:creator>CVS Caremark</dc:creator>
  <cp:keywords/>
  <cp:lastModifiedBy>Huerta, Linda M</cp:lastModifiedBy>
  <cp:revision>3</cp:revision>
  <cp:lastPrinted>2018-01-09T08:01:00Z</cp:lastPrinted>
  <dcterms:created xsi:type="dcterms:W3CDTF">2025-05-08T20:01:00Z</dcterms:created>
  <dcterms:modified xsi:type="dcterms:W3CDTF">2025-05-08T20:02:00Z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1670400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